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A8305" w14:textId="5EDD5265" w:rsidR="00344EFD" w:rsidRDefault="002E2ADF" w:rsidP="002E2ADF">
      <w:pPr>
        <w:pStyle w:val="Heading1"/>
      </w:pPr>
      <w:r>
        <w:t xml:space="preserve">Lecture Capture Policy </w:t>
      </w:r>
      <w:r w:rsidR="00502EE2">
        <w:t xml:space="preserve">Framework </w:t>
      </w:r>
      <w:bookmarkStart w:id="0" w:name="_GoBack"/>
      <w:bookmarkEnd w:id="0"/>
      <w:r>
        <w:t>at Warwick University</w:t>
      </w:r>
    </w:p>
    <w:p w14:paraId="3D9C36B6" w14:textId="58C52944" w:rsidR="000E1614" w:rsidRDefault="000E1614" w:rsidP="002E2ADF">
      <w:pPr>
        <w:pStyle w:val="NoSpacing"/>
      </w:pPr>
    </w:p>
    <w:p w14:paraId="5F2E687E" w14:textId="77777777" w:rsidR="002E2ADF" w:rsidRDefault="002E2ADF" w:rsidP="002E2ADF">
      <w:pPr>
        <w:pStyle w:val="NoSpacing"/>
      </w:pPr>
    </w:p>
    <w:p w14:paraId="126BA389" w14:textId="77777777" w:rsidR="002E2ADF" w:rsidRDefault="002E2ADF" w:rsidP="002E2ADF">
      <w:pPr>
        <w:pStyle w:val="NoSpacing"/>
        <w:numPr>
          <w:ilvl w:val="0"/>
          <w:numId w:val="1"/>
        </w:numPr>
      </w:pPr>
      <w:r>
        <w:t>Entities</w:t>
      </w:r>
    </w:p>
    <w:p w14:paraId="466D789D" w14:textId="77777777" w:rsidR="002E2ADF" w:rsidRDefault="002E2ADF" w:rsidP="002E2ADF">
      <w:pPr>
        <w:pStyle w:val="NoSpacing"/>
        <w:numPr>
          <w:ilvl w:val="1"/>
          <w:numId w:val="1"/>
        </w:numPr>
      </w:pPr>
      <w:r>
        <w:t>The Institution</w:t>
      </w:r>
    </w:p>
    <w:p w14:paraId="7F02754F" w14:textId="2CA280F3" w:rsidR="00B82075" w:rsidRDefault="00B82075" w:rsidP="000E1A74">
      <w:pPr>
        <w:pStyle w:val="NoSpacing"/>
        <w:numPr>
          <w:ilvl w:val="2"/>
          <w:numId w:val="1"/>
        </w:numPr>
      </w:pPr>
      <w:r>
        <w:t>Institutional partners: Monash? CUSP?</w:t>
      </w:r>
      <w:r w:rsidR="000E1A74">
        <w:t xml:space="preserve"> </w:t>
      </w:r>
      <w:r>
        <w:t>California?</w:t>
      </w:r>
    </w:p>
    <w:p w14:paraId="70B90190" w14:textId="77777777" w:rsidR="002E2ADF" w:rsidRDefault="002E2ADF" w:rsidP="002E2ADF">
      <w:pPr>
        <w:pStyle w:val="NoSpacing"/>
        <w:numPr>
          <w:ilvl w:val="1"/>
          <w:numId w:val="1"/>
        </w:numPr>
      </w:pPr>
      <w:r>
        <w:t>Staff</w:t>
      </w:r>
    </w:p>
    <w:p w14:paraId="047DEC0D" w14:textId="77777777" w:rsidR="002E2ADF" w:rsidRDefault="002E2ADF" w:rsidP="002E2ADF">
      <w:pPr>
        <w:pStyle w:val="NoSpacing"/>
        <w:numPr>
          <w:ilvl w:val="1"/>
          <w:numId w:val="1"/>
        </w:numPr>
      </w:pPr>
      <w:r>
        <w:t>Non-staff presenters</w:t>
      </w:r>
    </w:p>
    <w:p w14:paraId="35709643" w14:textId="10FC45CE" w:rsidR="003C7CEC" w:rsidRDefault="003C7CEC" w:rsidP="003C7CEC">
      <w:pPr>
        <w:pStyle w:val="NoSpacing"/>
        <w:numPr>
          <w:ilvl w:val="2"/>
          <w:numId w:val="1"/>
        </w:numPr>
      </w:pPr>
      <w:r>
        <w:t>With Warwick accounts??</w:t>
      </w:r>
    </w:p>
    <w:p w14:paraId="0EE7623C" w14:textId="4004BE10" w:rsidR="003C7CEC" w:rsidRDefault="003C7CEC" w:rsidP="003C7CEC">
      <w:pPr>
        <w:pStyle w:val="NoSpacing"/>
        <w:numPr>
          <w:ilvl w:val="2"/>
          <w:numId w:val="1"/>
        </w:numPr>
      </w:pPr>
      <w:r>
        <w:t>Without Warwick accounts??</w:t>
      </w:r>
    </w:p>
    <w:p w14:paraId="6DD55037" w14:textId="77777777" w:rsidR="002E2ADF" w:rsidRDefault="002E2ADF" w:rsidP="002E2ADF">
      <w:pPr>
        <w:pStyle w:val="NoSpacing"/>
        <w:numPr>
          <w:ilvl w:val="1"/>
          <w:numId w:val="1"/>
        </w:numPr>
      </w:pPr>
      <w:r>
        <w:t>Students</w:t>
      </w:r>
    </w:p>
    <w:p w14:paraId="2B732F3D" w14:textId="77777777" w:rsidR="002E2ADF" w:rsidRDefault="002E2ADF" w:rsidP="002E2ADF">
      <w:pPr>
        <w:pStyle w:val="NoSpacing"/>
        <w:numPr>
          <w:ilvl w:val="1"/>
          <w:numId w:val="1"/>
        </w:numPr>
      </w:pPr>
      <w:r>
        <w:t>Non-registered students</w:t>
      </w:r>
    </w:p>
    <w:p w14:paraId="7CE8084E" w14:textId="77777777" w:rsidR="002E2ADF" w:rsidRDefault="002E2ADF" w:rsidP="002E2ADF">
      <w:pPr>
        <w:pStyle w:val="NoSpacing"/>
        <w:numPr>
          <w:ilvl w:val="1"/>
          <w:numId w:val="1"/>
        </w:numPr>
      </w:pPr>
      <w:commentRangeStart w:id="1"/>
      <w:r>
        <w:t>Public</w:t>
      </w:r>
      <w:commentRangeEnd w:id="1"/>
      <w:r w:rsidR="000E1614">
        <w:rPr>
          <w:rStyle w:val="CommentReference"/>
        </w:rPr>
        <w:commentReference w:id="1"/>
      </w:r>
    </w:p>
    <w:p w14:paraId="6C938DAC" w14:textId="77777777" w:rsidR="002E2ADF" w:rsidRDefault="002E2ADF" w:rsidP="002E2ADF">
      <w:pPr>
        <w:pStyle w:val="NoSpacing"/>
      </w:pPr>
    </w:p>
    <w:p w14:paraId="73AEEAB4" w14:textId="77777777" w:rsidR="002E2ADF" w:rsidRDefault="002E2ADF" w:rsidP="002E2ADF">
      <w:pPr>
        <w:pStyle w:val="NoSpacing"/>
        <w:numPr>
          <w:ilvl w:val="0"/>
          <w:numId w:val="1"/>
        </w:numPr>
      </w:pPr>
      <w:r>
        <w:t>Definition of lecture capture</w:t>
      </w:r>
    </w:p>
    <w:p w14:paraId="186EF8E6" w14:textId="77777777" w:rsidR="002E2ADF" w:rsidRDefault="002E2ADF" w:rsidP="002E2ADF">
      <w:pPr>
        <w:pStyle w:val="NoSpacing"/>
        <w:numPr>
          <w:ilvl w:val="1"/>
          <w:numId w:val="1"/>
        </w:numPr>
      </w:pPr>
      <w:r>
        <w:t>Pre-recorded video/audio made available to students as course materials</w:t>
      </w:r>
    </w:p>
    <w:p w14:paraId="744F4C9E" w14:textId="77777777" w:rsidR="002E2ADF" w:rsidRDefault="002E2ADF" w:rsidP="002E2ADF">
      <w:pPr>
        <w:pStyle w:val="NoSpacing"/>
        <w:numPr>
          <w:ilvl w:val="1"/>
          <w:numId w:val="1"/>
        </w:numPr>
      </w:pPr>
      <w:r>
        <w:t>In-session recording (auto-scheduled)</w:t>
      </w:r>
    </w:p>
    <w:p w14:paraId="213B4B07" w14:textId="77777777" w:rsidR="002E2ADF" w:rsidRDefault="002E2ADF" w:rsidP="002E2ADF">
      <w:pPr>
        <w:pStyle w:val="NoSpacing"/>
        <w:numPr>
          <w:ilvl w:val="1"/>
          <w:numId w:val="1"/>
        </w:numPr>
      </w:pPr>
      <w:r>
        <w:t>In-session recording (manually recorded by staff)</w:t>
      </w:r>
    </w:p>
    <w:p w14:paraId="7ABA084E" w14:textId="77777777" w:rsidR="002E2ADF" w:rsidRDefault="002E2ADF" w:rsidP="002E2ADF">
      <w:pPr>
        <w:pStyle w:val="NoSpacing"/>
        <w:numPr>
          <w:ilvl w:val="1"/>
          <w:numId w:val="1"/>
        </w:numPr>
      </w:pPr>
      <w:r>
        <w:t>In-session recording (manually recorded by students)</w:t>
      </w:r>
    </w:p>
    <w:p w14:paraId="4DDDA474" w14:textId="77777777" w:rsidR="002E2ADF" w:rsidRDefault="002E2ADF" w:rsidP="002E2ADF">
      <w:pPr>
        <w:pStyle w:val="NoSpacing"/>
        <w:numPr>
          <w:ilvl w:val="1"/>
          <w:numId w:val="1"/>
        </w:numPr>
      </w:pPr>
      <w:r>
        <w:t>Post-session video/audio made available to students as course materials</w:t>
      </w:r>
    </w:p>
    <w:p w14:paraId="4AFAC364" w14:textId="77777777" w:rsidR="002E2ADF" w:rsidRDefault="002E2ADF" w:rsidP="002E2ADF">
      <w:pPr>
        <w:pStyle w:val="NoSpacing"/>
      </w:pPr>
    </w:p>
    <w:p w14:paraId="1126B796" w14:textId="77777777" w:rsidR="002E2ADF" w:rsidRDefault="002E2ADF" w:rsidP="002E2ADF">
      <w:pPr>
        <w:pStyle w:val="NoSpacing"/>
        <w:numPr>
          <w:ilvl w:val="0"/>
          <w:numId w:val="1"/>
        </w:numPr>
      </w:pPr>
      <w:r>
        <w:t>Scope of this policy</w:t>
      </w:r>
    </w:p>
    <w:p w14:paraId="155DAA52" w14:textId="77777777" w:rsidR="002E2ADF" w:rsidRDefault="002E2ADF" w:rsidP="002E2ADF">
      <w:pPr>
        <w:pStyle w:val="NoSpacing"/>
        <w:numPr>
          <w:ilvl w:val="1"/>
          <w:numId w:val="1"/>
        </w:numPr>
      </w:pPr>
      <w:r>
        <w:t>In-session recording only?</w:t>
      </w:r>
    </w:p>
    <w:p w14:paraId="455BC170" w14:textId="06206A51" w:rsidR="002E2ADF" w:rsidRPr="002E2ADF" w:rsidRDefault="002E2ADF" w:rsidP="002E2ADF">
      <w:pPr>
        <w:pStyle w:val="NoSpacing"/>
        <w:numPr>
          <w:ilvl w:val="1"/>
          <w:numId w:val="1"/>
        </w:numPr>
        <w:rPr>
          <w:strike/>
        </w:rPr>
      </w:pPr>
      <w:r w:rsidRPr="002E2ADF">
        <w:rPr>
          <w:strike/>
        </w:rPr>
        <w:t>Staff recording only?</w:t>
      </w:r>
      <w:r w:rsidR="00386B1B">
        <w:rPr>
          <w:strike/>
        </w:rPr>
        <w:t xml:space="preserve"> </w:t>
      </w:r>
      <w:r w:rsidR="00386B1B">
        <w:t>Not feasible to exclude - n</w:t>
      </w:r>
      <w:r w:rsidR="00386B1B" w:rsidRPr="00386B1B">
        <w:t>eeds to include student recording as per existing policy</w:t>
      </w:r>
    </w:p>
    <w:p w14:paraId="6C18C19F" w14:textId="4550C141" w:rsidR="002E2ADF" w:rsidRDefault="002E2ADF" w:rsidP="002E2ADF">
      <w:pPr>
        <w:pStyle w:val="NoSpacing"/>
        <w:numPr>
          <w:ilvl w:val="1"/>
          <w:numId w:val="1"/>
        </w:numPr>
        <w:rPr>
          <w:strike/>
        </w:rPr>
      </w:pPr>
      <w:r w:rsidRPr="002E2ADF">
        <w:rPr>
          <w:strike/>
        </w:rPr>
        <w:t>Recordings made with echo360</w:t>
      </w:r>
      <w:r>
        <w:rPr>
          <w:strike/>
        </w:rPr>
        <w:t xml:space="preserve"> only</w:t>
      </w:r>
      <w:r w:rsidRPr="002E2ADF">
        <w:rPr>
          <w:strike/>
        </w:rPr>
        <w:t>?</w:t>
      </w:r>
      <w:r w:rsidR="00386B1B">
        <w:rPr>
          <w:strike/>
        </w:rPr>
        <w:t xml:space="preserve"> with auto-scheduling only? </w:t>
      </w:r>
      <w:r w:rsidR="00386B1B" w:rsidRPr="00386B1B">
        <w:t>Not sensible – technologies will change over time</w:t>
      </w:r>
    </w:p>
    <w:p w14:paraId="0CC8EC19" w14:textId="77777777" w:rsidR="002E2ADF" w:rsidRDefault="002E2ADF" w:rsidP="002E2ADF">
      <w:pPr>
        <w:pStyle w:val="NoSpacing"/>
        <w:numPr>
          <w:ilvl w:val="1"/>
          <w:numId w:val="1"/>
        </w:numPr>
      </w:pPr>
      <w:r w:rsidRPr="002E2ADF">
        <w:t>Live streaming?</w:t>
      </w:r>
    </w:p>
    <w:p w14:paraId="2C088E37" w14:textId="23BBC8AC" w:rsidR="00FC51A0" w:rsidRPr="002E2ADF" w:rsidRDefault="00FC51A0" w:rsidP="002E2ADF">
      <w:pPr>
        <w:pStyle w:val="NoSpacing"/>
        <w:numPr>
          <w:ilvl w:val="1"/>
          <w:numId w:val="1"/>
        </w:numPr>
      </w:pPr>
      <w:r>
        <w:t>Captions/transcriptions?</w:t>
      </w:r>
    </w:p>
    <w:p w14:paraId="13162DF6" w14:textId="77777777" w:rsidR="002E2ADF" w:rsidRDefault="002E2ADF" w:rsidP="002E2ADF">
      <w:pPr>
        <w:pStyle w:val="NoSpacing"/>
      </w:pPr>
    </w:p>
    <w:p w14:paraId="54EDF6A8" w14:textId="77777777" w:rsidR="002E2ADF" w:rsidRDefault="002E2ADF" w:rsidP="002E2ADF">
      <w:pPr>
        <w:pStyle w:val="NoSpacing"/>
        <w:numPr>
          <w:ilvl w:val="0"/>
          <w:numId w:val="1"/>
        </w:numPr>
      </w:pPr>
      <w:r>
        <w:t>Tools relevant to this policy</w:t>
      </w:r>
    </w:p>
    <w:p w14:paraId="481C5F07" w14:textId="77777777" w:rsidR="002E2ADF" w:rsidRDefault="002E2ADF" w:rsidP="002E2ADF">
      <w:pPr>
        <w:pStyle w:val="NoSpacing"/>
        <w:numPr>
          <w:ilvl w:val="1"/>
          <w:numId w:val="1"/>
        </w:numPr>
      </w:pPr>
      <w:r>
        <w:t>Echo360 automated scheduling system for large teaching rooms</w:t>
      </w:r>
    </w:p>
    <w:p w14:paraId="03765AC6" w14:textId="77777777" w:rsidR="002E2ADF" w:rsidRDefault="002E2ADF" w:rsidP="002E2ADF">
      <w:pPr>
        <w:pStyle w:val="NoSpacing"/>
        <w:numPr>
          <w:ilvl w:val="1"/>
          <w:numId w:val="1"/>
        </w:numPr>
      </w:pPr>
      <w:r>
        <w:t>Echo360 personal capture</w:t>
      </w:r>
    </w:p>
    <w:p w14:paraId="6E851F7D" w14:textId="77777777" w:rsidR="002E2ADF" w:rsidRDefault="002E2ADF" w:rsidP="002E2ADF">
      <w:pPr>
        <w:pStyle w:val="NoSpacing"/>
        <w:numPr>
          <w:ilvl w:val="1"/>
          <w:numId w:val="1"/>
        </w:numPr>
      </w:pPr>
      <w:r>
        <w:t>Planet estream</w:t>
      </w:r>
    </w:p>
    <w:p w14:paraId="0415FC25" w14:textId="77777777" w:rsidR="00FE7B55" w:rsidRDefault="00FE7B55" w:rsidP="002E2ADF">
      <w:pPr>
        <w:pStyle w:val="NoSpacing"/>
        <w:numPr>
          <w:ilvl w:val="1"/>
          <w:numId w:val="1"/>
        </w:numPr>
      </w:pPr>
      <w:r>
        <w:t>Sitebuilder</w:t>
      </w:r>
    </w:p>
    <w:p w14:paraId="69F47A6E" w14:textId="5E30875D" w:rsidR="009D5BE0" w:rsidRDefault="00FE7B55" w:rsidP="009D5BE0">
      <w:pPr>
        <w:pStyle w:val="NoSpacing"/>
        <w:numPr>
          <w:ilvl w:val="1"/>
          <w:numId w:val="1"/>
        </w:numPr>
      </w:pPr>
      <w:r>
        <w:t>Moodle</w:t>
      </w:r>
    </w:p>
    <w:p w14:paraId="1928787F" w14:textId="15A95E2B" w:rsidR="002E2ADF" w:rsidRDefault="002E2ADF" w:rsidP="002E2ADF">
      <w:pPr>
        <w:pStyle w:val="NoSpacing"/>
        <w:numPr>
          <w:ilvl w:val="1"/>
          <w:numId w:val="1"/>
        </w:numPr>
      </w:pPr>
      <w:commentRangeStart w:id="2"/>
      <w:r>
        <w:t>Non-ITS ma</w:t>
      </w:r>
      <w:r w:rsidR="00FE7B55">
        <w:t xml:space="preserve">naged solutions: jing? periscope? </w:t>
      </w:r>
      <w:r w:rsidR="00B82075">
        <w:t xml:space="preserve">Youtube? </w:t>
      </w:r>
      <w:r w:rsidR="00996657">
        <w:t>Perhaps need a catch-all clause</w:t>
      </w:r>
      <w:commentRangeEnd w:id="2"/>
      <w:r w:rsidR="00FB09A1">
        <w:rPr>
          <w:rStyle w:val="CommentReference"/>
        </w:rPr>
        <w:commentReference w:id="2"/>
      </w:r>
    </w:p>
    <w:p w14:paraId="40A359C2" w14:textId="77777777" w:rsidR="002E2ADF" w:rsidRDefault="002E2ADF" w:rsidP="002E2ADF">
      <w:pPr>
        <w:pStyle w:val="NoSpacing"/>
        <w:ind w:left="1440"/>
      </w:pPr>
    </w:p>
    <w:p w14:paraId="55B7351A" w14:textId="3D3F1D9D" w:rsidR="002E2ADF" w:rsidRDefault="00FC51A0" w:rsidP="002E2ADF">
      <w:pPr>
        <w:pStyle w:val="NoSpacing"/>
        <w:numPr>
          <w:ilvl w:val="0"/>
          <w:numId w:val="1"/>
        </w:numPr>
      </w:pPr>
      <w:r>
        <w:t>Rights relevant to this policy</w:t>
      </w:r>
      <w:r w:rsidR="001A7960">
        <w:t xml:space="preserve"> – </w:t>
      </w:r>
      <w:commentRangeStart w:id="3"/>
      <w:r w:rsidR="001A7960">
        <w:t>and why the policy and institutional platforms need things like waivers, acceptance of liability, consents to store and move content containing rights etc</w:t>
      </w:r>
      <w:commentRangeEnd w:id="3"/>
      <w:r w:rsidR="001A7960">
        <w:rPr>
          <w:rStyle w:val="CommentReference"/>
        </w:rPr>
        <w:commentReference w:id="3"/>
      </w:r>
    </w:p>
    <w:p w14:paraId="16141C50" w14:textId="3FFF6C46" w:rsidR="00FC51A0" w:rsidRDefault="00FC51A0" w:rsidP="00FC51A0">
      <w:pPr>
        <w:pStyle w:val="NoSpacing"/>
        <w:numPr>
          <w:ilvl w:val="1"/>
          <w:numId w:val="1"/>
        </w:numPr>
      </w:pPr>
      <w:commentRangeStart w:id="4"/>
      <w:r>
        <w:t>Copyright of original works created by Warwick academics</w:t>
      </w:r>
      <w:commentRangeEnd w:id="4"/>
      <w:r w:rsidR="001A7960">
        <w:rPr>
          <w:rStyle w:val="CommentReference"/>
        </w:rPr>
        <w:commentReference w:id="4"/>
      </w:r>
    </w:p>
    <w:p w14:paraId="2D2A049B" w14:textId="511ED253" w:rsidR="00FC51A0" w:rsidRDefault="00FC51A0" w:rsidP="00FC51A0">
      <w:pPr>
        <w:pStyle w:val="NoSpacing"/>
        <w:numPr>
          <w:ilvl w:val="1"/>
          <w:numId w:val="1"/>
        </w:numPr>
      </w:pPr>
      <w:r>
        <w:t>Copyright of third party content</w:t>
      </w:r>
    </w:p>
    <w:p w14:paraId="2BE02602" w14:textId="1B003D53" w:rsidR="00C700A1" w:rsidRDefault="00C700A1" w:rsidP="00C700A1">
      <w:pPr>
        <w:pStyle w:val="NoSpacing"/>
        <w:numPr>
          <w:ilvl w:val="2"/>
          <w:numId w:val="1"/>
        </w:numPr>
      </w:pPr>
      <w:r>
        <w:t xml:space="preserve">In relation to </w:t>
      </w:r>
      <w:commentRangeStart w:id="5"/>
      <w:r>
        <w:t>educational exemptions for content used within an authenticated education environment</w:t>
      </w:r>
      <w:commentRangeEnd w:id="5"/>
      <w:r w:rsidR="001A7960">
        <w:rPr>
          <w:rStyle w:val="CommentReference"/>
        </w:rPr>
        <w:commentReference w:id="5"/>
      </w:r>
    </w:p>
    <w:p w14:paraId="6BC26096" w14:textId="10EA4FC3" w:rsidR="00C700A1" w:rsidRDefault="00C700A1" w:rsidP="00C700A1">
      <w:pPr>
        <w:pStyle w:val="NoSpacing"/>
        <w:numPr>
          <w:ilvl w:val="2"/>
          <w:numId w:val="1"/>
        </w:numPr>
      </w:pPr>
      <w:r>
        <w:t>In relation to educational use</w:t>
      </w:r>
    </w:p>
    <w:p w14:paraId="463F9956" w14:textId="5215BC40" w:rsidR="00C700A1" w:rsidRDefault="00C700A1" w:rsidP="00C700A1">
      <w:pPr>
        <w:pStyle w:val="NoSpacing"/>
        <w:numPr>
          <w:ilvl w:val="2"/>
          <w:numId w:val="1"/>
        </w:numPr>
      </w:pPr>
      <w:r>
        <w:t>In non-educational contexts</w:t>
      </w:r>
    </w:p>
    <w:p w14:paraId="01A9B031" w14:textId="549EA05E" w:rsidR="00FC51A0" w:rsidRDefault="00FC51A0" w:rsidP="00FC51A0">
      <w:pPr>
        <w:pStyle w:val="NoSpacing"/>
        <w:numPr>
          <w:ilvl w:val="1"/>
          <w:numId w:val="1"/>
        </w:numPr>
      </w:pPr>
      <w:r>
        <w:t>Performers rights of presenters</w:t>
      </w:r>
    </w:p>
    <w:p w14:paraId="09BD4C6D" w14:textId="2C7D4E12" w:rsidR="00FC51A0" w:rsidRDefault="00FC51A0" w:rsidP="00FC51A0">
      <w:pPr>
        <w:pStyle w:val="NoSpacing"/>
        <w:numPr>
          <w:ilvl w:val="1"/>
          <w:numId w:val="1"/>
        </w:numPr>
      </w:pPr>
      <w:r>
        <w:t>Data protection of discussion participants</w:t>
      </w:r>
    </w:p>
    <w:p w14:paraId="7BD4C458" w14:textId="425E69E6" w:rsidR="00FC51A0" w:rsidRDefault="00FC51A0" w:rsidP="00FC51A0">
      <w:pPr>
        <w:pStyle w:val="NoSpacing"/>
        <w:numPr>
          <w:ilvl w:val="1"/>
          <w:numId w:val="1"/>
        </w:numPr>
      </w:pPr>
      <w:r>
        <w:t>Institutional reputation considerations: libel, slander etc</w:t>
      </w:r>
    </w:p>
    <w:p w14:paraId="6CB58395" w14:textId="77777777" w:rsidR="00FC51A0" w:rsidRDefault="00FC51A0" w:rsidP="00FC51A0">
      <w:pPr>
        <w:pStyle w:val="NoSpacing"/>
        <w:ind w:left="1440"/>
      </w:pPr>
    </w:p>
    <w:p w14:paraId="2D454BFB" w14:textId="066BB2C2" w:rsidR="00FC51A0" w:rsidRDefault="00FC51A0" w:rsidP="00FC51A0">
      <w:pPr>
        <w:pStyle w:val="NoSpacing"/>
        <w:numPr>
          <w:ilvl w:val="0"/>
          <w:numId w:val="1"/>
        </w:numPr>
      </w:pPr>
      <w:r>
        <w:t>Access arrangements relevant to this policy</w:t>
      </w:r>
    </w:p>
    <w:p w14:paraId="57B0902D" w14:textId="47F474C3" w:rsidR="001B78D2" w:rsidRDefault="001B78D2" w:rsidP="001B78D2">
      <w:pPr>
        <w:pStyle w:val="NoSpacing"/>
        <w:numPr>
          <w:ilvl w:val="1"/>
          <w:numId w:val="1"/>
        </w:numPr>
      </w:pPr>
      <w:r>
        <w:t>Platforms</w:t>
      </w:r>
    </w:p>
    <w:p w14:paraId="7B4FE425" w14:textId="2EBD800E" w:rsidR="001A423C" w:rsidRDefault="003A32B3" w:rsidP="001A423C">
      <w:pPr>
        <w:pStyle w:val="NoSpacing"/>
        <w:numPr>
          <w:ilvl w:val="2"/>
          <w:numId w:val="1"/>
        </w:numPr>
      </w:pPr>
      <w:r>
        <w:t>the access-controlled VLE</w:t>
      </w:r>
    </w:p>
    <w:p w14:paraId="02829D62" w14:textId="61D5C7EB" w:rsidR="003A32B3" w:rsidRDefault="000E1614" w:rsidP="001B78D2">
      <w:pPr>
        <w:pStyle w:val="NoSpacing"/>
        <w:numPr>
          <w:ilvl w:val="2"/>
          <w:numId w:val="1"/>
        </w:numPr>
      </w:pPr>
      <w:r>
        <w:t>o</w:t>
      </w:r>
      <w:r w:rsidR="001B78D2">
        <w:t>ther university platforms</w:t>
      </w:r>
    </w:p>
    <w:p w14:paraId="45291860" w14:textId="7BF4F980" w:rsidR="001B78D2" w:rsidRDefault="000E1614" w:rsidP="001B78D2">
      <w:pPr>
        <w:pStyle w:val="NoSpacing"/>
        <w:numPr>
          <w:ilvl w:val="2"/>
          <w:numId w:val="1"/>
        </w:numPr>
      </w:pPr>
      <w:r>
        <w:t>n</w:t>
      </w:r>
      <w:r w:rsidR="001B78D2">
        <w:t>on-university platforms</w:t>
      </w:r>
    </w:p>
    <w:p w14:paraId="1238B1A4" w14:textId="70FE4311" w:rsidR="001B78D2" w:rsidRDefault="001B78D2" w:rsidP="00FC51A0">
      <w:pPr>
        <w:pStyle w:val="NoSpacing"/>
        <w:numPr>
          <w:ilvl w:val="1"/>
          <w:numId w:val="1"/>
        </w:numPr>
      </w:pPr>
      <w:r>
        <w:t>Audiences</w:t>
      </w:r>
    </w:p>
    <w:p w14:paraId="12ED91E2" w14:textId="5D8C38F6" w:rsidR="001B78D2" w:rsidRPr="001B78D2" w:rsidRDefault="001B78D2" w:rsidP="001B78D2">
      <w:pPr>
        <w:pStyle w:val="NoSpacing"/>
        <w:numPr>
          <w:ilvl w:val="2"/>
          <w:numId w:val="1"/>
        </w:numPr>
      </w:pPr>
      <w:r w:rsidRPr="001B78D2">
        <w:rPr>
          <w:strike/>
        </w:rPr>
        <w:t>Within the module</w:t>
      </w:r>
      <w:r>
        <w:rPr>
          <w:strike/>
        </w:rPr>
        <w:t xml:space="preserve"> </w:t>
      </w:r>
      <w:r w:rsidRPr="001B78D2">
        <w:t>There may be a desire to lock access to modules but this carries a significant admin/complexity overhead and isn’t sustainable</w:t>
      </w:r>
    </w:p>
    <w:p w14:paraId="6A56F4F3" w14:textId="35792770" w:rsidR="001B78D2" w:rsidRDefault="001B78D2" w:rsidP="001B78D2">
      <w:pPr>
        <w:pStyle w:val="NoSpacing"/>
        <w:numPr>
          <w:ilvl w:val="2"/>
          <w:numId w:val="1"/>
        </w:numPr>
      </w:pPr>
      <w:r w:rsidRPr="001B78D2">
        <w:rPr>
          <w:strike/>
        </w:rPr>
        <w:t>Within the department</w:t>
      </w:r>
      <w:r>
        <w:t xml:space="preserve"> </w:t>
      </w:r>
      <w:r w:rsidRPr="001B78D2">
        <w:t>There may be a desire to lock access to modules but this carries a significant admin/complexity overhead and isn’t sustainable</w:t>
      </w:r>
    </w:p>
    <w:p w14:paraId="0EDDE09B" w14:textId="04BE4870" w:rsidR="001B78D2" w:rsidRDefault="001B78D2" w:rsidP="001B78D2">
      <w:pPr>
        <w:pStyle w:val="NoSpacing"/>
        <w:numPr>
          <w:ilvl w:val="2"/>
          <w:numId w:val="1"/>
        </w:numPr>
      </w:pPr>
      <w:r>
        <w:t>Within the university</w:t>
      </w:r>
    </w:p>
    <w:p w14:paraId="41241828" w14:textId="00FB0EB0" w:rsidR="001B78D2" w:rsidRDefault="001B78D2" w:rsidP="001B78D2">
      <w:pPr>
        <w:pStyle w:val="NoSpacing"/>
        <w:numPr>
          <w:ilvl w:val="2"/>
          <w:numId w:val="1"/>
        </w:numPr>
      </w:pPr>
      <w:r>
        <w:t>Selected partner organisations</w:t>
      </w:r>
    </w:p>
    <w:p w14:paraId="7229E406" w14:textId="77777777" w:rsidR="001B78D2" w:rsidRDefault="001B78D2" w:rsidP="001B78D2">
      <w:pPr>
        <w:pStyle w:val="NoSpacing"/>
        <w:numPr>
          <w:ilvl w:val="2"/>
          <w:numId w:val="1"/>
        </w:numPr>
      </w:pPr>
      <w:r>
        <w:t>Public</w:t>
      </w:r>
    </w:p>
    <w:p w14:paraId="3A6F291D" w14:textId="4C1D9EA8" w:rsidR="001B78D2" w:rsidRDefault="001B78D2" w:rsidP="001B78D2">
      <w:pPr>
        <w:pStyle w:val="NoSpacing"/>
        <w:numPr>
          <w:ilvl w:val="3"/>
          <w:numId w:val="1"/>
        </w:numPr>
      </w:pPr>
      <w:r>
        <w:t>with Registration</w:t>
      </w:r>
    </w:p>
    <w:p w14:paraId="3833EA70" w14:textId="0B0DEE99" w:rsidR="001B78D2" w:rsidRDefault="001B78D2" w:rsidP="001B78D2">
      <w:pPr>
        <w:pStyle w:val="NoSpacing"/>
        <w:numPr>
          <w:ilvl w:val="3"/>
          <w:numId w:val="1"/>
        </w:numPr>
      </w:pPr>
      <w:r>
        <w:t>Open (no Registration)</w:t>
      </w:r>
    </w:p>
    <w:p w14:paraId="1A5BF27F" w14:textId="00CE527B" w:rsidR="001B78D2" w:rsidRDefault="001B78D2" w:rsidP="001B78D2">
      <w:pPr>
        <w:pStyle w:val="NoSpacing"/>
        <w:numPr>
          <w:ilvl w:val="1"/>
          <w:numId w:val="1"/>
        </w:numPr>
      </w:pPr>
      <w:r>
        <w:t>Timescales</w:t>
      </w:r>
    </w:p>
    <w:p w14:paraId="6EF39329" w14:textId="5DBD9794" w:rsidR="00DE2775" w:rsidRDefault="001B78D2" w:rsidP="00DE2775">
      <w:pPr>
        <w:pStyle w:val="NoSpacing"/>
        <w:numPr>
          <w:ilvl w:val="2"/>
          <w:numId w:val="1"/>
        </w:numPr>
      </w:pPr>
      <w:r>
        <w:t>E</w:t>
      </w:r>
      <w:r w:rsidR="00DE2775">
        <w:t>mbargos – delays before captures are available</w:t>
      </w:r>
    </w:p>
    <w:p w14:paraId="4C0E01A5" w14:textId="31E05229" w:rsidR="001B78D2" w:rsidRDefault="001B78D2" w:rsidP="001B78D2">
      <w:pPr>
        <w:pStyle w:val="NoSpacing"/>
        <w:numPr>
          <w:ilvl w:val="2"/>
          <w:numId w:val="1"/>
        </w:numPr>
      </w:pPr>
      <w:r>
        <w:t>Retention periods</w:t>
      </w:r>
      <w:r w:rsidR="00DE2775">
        <w:t xml:space="preserve"> – expected duration to store</w:t>
      </w:r>
    </w:p>
    <w:p w14:paraId="05BCBFAC" w14:textId="75F70233" w:rsidR="00DE2775" w:rsidRDefault="00DE2775" w:rsidP="00DE2775">
      <w:pPr>
        <w:pStyle w:val="NoSpacing"/>
        <w:numPr>
          <w:ilvl w:val="3"/>
          <w:numId w:val="1"/>
        </w:numPr>
      </w:pPr>
      <w:r>
        <w:t>Currently 2 years but not enforced</w:t>
      </w:r>
    </w:p>
    <w:p w14:paraId="271DDE0D" w14:textId="175BA547" w:rsidR="00DE2775" w:rsidRDefault="00DE2775" w:rsidP="001B78D2">
      <w:pPr>
        <w:pStyle w:val="NoSpacing"/>
        <w:numPr>
          <w:ilvl w:val="2"/>
          <w:numId w:val="1"/>
        </w:numPr>
      </w:pPr>
      <w:r>
        <w:t>Options beyond the retention period</w:t>
      </w:r>
    </w:p>
    <w:p w14:paraId="24D8F58C" w14:textId="77777777" w:rsidR="001A423C" w:rsidRDefault="001A423C" w:rsidP="001A423C">
      <w:pPr>
        <w:pStyle w:val="NoSpacing"/>
        <w:ind w:left="2160"/>
      </w:pPr>
    </w:p>
    <w:p w14:paraId="2F8CF605" w14:textId="596C9778" w:rsidR="001A423C" w:rsidRDefault="001A423C" w:rsidP="001A423C">
      <w:pPr>
        <w:pStyle w:val="NoSpacing"/>
        <w:numPr>
          <w:ilvl w:val="0"/>
          <w:numId w:val="1"/>
        </w:numPr>
      </w:pPr>
      <w:commentRangeStart w:id="6"/>
      <w:r>
        <w:t>Appropriate use of lecture capture technologies</w:t>
      </w:r>
      <w:commentRangeEnd w:id="6"/>
      <w:r w:rsidR="00FC2208">
        <w:rPr>
          <w:rStyle w:val="CommentReference"/>
        </w:rPr>
        <w:commentReference w:id="6"/>
      </w:r>
    </w:p>
    <w:p w14:paraId="2EB10DD6" w14:textId="50D76B96" w:rsidR="001A423C" w:rsidRDefault="001A423C" w:rsidP="001A423C">
      <w:pPr>
        <w:pStyle w:val="NoSpacing"/>
        <w:numPr>
          <w:ilvl w:val="1"/>
          <w:numId w:val="1"/>
        </w:numPr>
      </w:pPr>
      <w:r>
        <w:t>Benefits of lecture capture are:</w:t>
      </w:r>
    </w:p>
    <w:p w14:paraId="4C7C1FA9" w14:textId="70E14B41" w:rsidR="001A423C" w:rsidRDefault="001A423C" w:rsidP="001A423C">
      <w:pPr>
        <w:pStyle w:val="NoSpacing"/>
        <w:numPr>
          <w:ilvl w:val="2"/>
          <w:numId w:val="1"/>
        </w:numPr>
      </w:pPr>
      <w:r>
        <w:t>listen/watch again to check understanding</w:t>
      </w:r>
    </w:p>
    <w:p w14:paraId="2543FF7E" w14:textId="48D23A8B" w:rsidR="001A423C" w:rsidRDefault="001A423C" w:rsidP="001A423C">
      <w:pPr>
        <w:pStyle w:val="NoSpacing"/>
        <w:numPr>
          <w:ilvl w:val="2"/>
          <w:numId w:val="1"/>
        </w:numPr>
      </w:pPr>
      <w:r>
        <w:t>listen/watch again for revision</w:t>
      </w:r>
    </w:p>
    <w:p w14:paraId="441CC6C7" w14:textId="4438A0FF" w:rsidR="001A423C" w:rsidRDefault="001A423C" w:rsidP="001A423C">
      <w:pPr>
        <w:pStyle w:val="NoSpacing"/>
        <w:numPr>
          <w:ilvl w:val="2"/>
          <w:numId w:val="1"/>
        </w:numPr>
      </w:pPr>
      <w:r>
        <w:t>reasonable adjustments</w:t>
      </w:r>
    </w:p>
    <w:p w14:paraId="4A584C83" w14:textId="54F81314" w:rsidR="001A423C" w:rsidRDefault="00FC2208" w:rsidP="001A423C">
      <w:pPr>
        <w:pStyle w:val="NoSpacing"/>
        <w:numPr>
          <w:ilvl w:val="2"/>
          <w:numId w:val="1"/>
        </w:numPr>
      </w:pPr>
      <w:r>
        <w:t>etc</w:t>
      </w:r>
    </w:p>
    <w:p w14:paraId="73B5ECCA" w14:textId="77777777" w:rsidR="001A423C" w:rsidRDefault="001A423C" w:rsidP="001A423C">
      <w:pPr>
        <w:pStyle w:val="NoSpacing"/>
        <w:numPr>
          <w:ilvl w:val="1"/>
          <w:numId w:val="1"/>
        </w:numPr>
      </w:pPr>
      <w:r>
        <w:t>Lecture capture technologies should be used with respect for</w:t>
      </w:r>
    </w:p>
    <w:p w14:paraId="16AE4F05" w14:textId="77777777" w:rsidR="001A423C" w:rsidRDefault="001A423C" w:rsidP="001A423C">
      <w:pPr>
        <w:pStyle w:val="NoSpacing"/>
        <w:numPr>
          <w:ilvl w:val="2"/>
          <w:numId w:val="1"/>
        </w:numPr>
      </w:pPr>
      <w:r>
        <w:t>academic’s rights</w:t>
      </w:r>
    </w:p>
    <w:p w14:paraId="6394CB37" w14:textId="77777777" w:rsidR="001A423C" w:rsidRDefault="001A423C" w:rsidP="001A423C">
      <w:pPr>
        <w:pStyle w:val="NoSpacing"/>
        <w:numPr>
          <w:ilvl w:val="2"/>
          <w:numId w:val="1"/>
        </w:numPr>
      </w:pPr>
      <w:r>
        <w:t>student’s privacy</w:t>
      </w:r>
    </w:p>
    <w:p w14:paraId="1D3434A9" w14:textId="5E44F085" w:rsidR="001A423C" w:rsidRDefault="001A423C" w:rsidP="001A423C">
      <w:pPr>
        <w:pStyle w:val="NoSpacing"/>
        <w:numPr>
          <w:ilvl w:val="2"/>
          <w:numId w:val="1"/>
        </w:numPr>
      </w:pPr>
      <w:r>
        <w:t>institutional reputation</w:t>
      </w:r>
    </w:p>
    <w:p w14:paraId="4E35AD7C" w14:textId="43E7D000" w:rsidR="001A423C" w:rsidRDefault="001A423C" w:rsidP="001A423C">
      <w:pPr>
        <w:pStyle w:val="NoSpacing"/>
        <w:numPr>
          <w:ilvl w:val="1"/>
          <w:numId w:val="1"/>
        </w:numPr>
      </w:pPr>
      <w:r>
        <w:t>Lecture capture technologies may not be appropriate when</w:t>
      </w:r>
    </w:p>
    <w:p w14:paraId="08B5DCE4" w14:textId="556ECB1D" w:rsidR="001A423C" w:rsidRDefault="00FC2208" w:rsidP="001A423C">
      <w:pPr>
        <w:pStyle w:val="NoSpacing"/>
        <w:numPr>
          <w:ilvl w:val="2"/>
          <w:numId w:val="1"/>
        </w:numPr>
      </w:pPr>
      <w:r>
        <w:t>etc</w:t>
      </w:r>
    </w:p>
    <w:p w14:paraId="3835081D" w14:textId="56DB90EB" w:rsidR="001A423C" w:rsidRDefault="00FC2208" w:rsidP="001A423C">
      <w:pPr>
        <w:pStyle w:val="NoSpacing"/>
        <w:numPr>
          <w:ilvl w:val="2"/>
          <w:numId w:val="1"/>
        </w:numPr>
      </w:pPr>
      <w:r>
        <w:t>etc</w:t>
      </w:r>
    </w:p>
    <w:p w14:paraId="7761AB23" w14:textId="5D34BEB7" w:rsidR="001A423C" w:rsidRDefault="00FC2208" w:rsidP="001A423C">
      <w:pPr>
        <w:pStyle w:val="NoSpacing"/>
        <w:numPr>
          <w:ilvl w:val="2"/>
          <w:numId w:val="1"/>
        </w:numPr>
      </w:pPr>
      <w:r>
        <w:t>etc</w:t>
      </w:r>
    </w:p>
    <w:p w14:paraId="3286A2B9" w14:textId="77777777" w:rsidR="00FC2208" w:rsidRDefault="00FC2208" w:rsidP="00FC2208">
      <w:pPr>
        <w:pStyle w:val="NoSpacing"/>
        <w:ind w:left="2160"/>
      </w:pPr>
    </w:p>
    <w:p w14:paraId="4C5DC638" w14:textId="77777777" w:rsidR="00FC2208" w:rsidRDefault="00FC2208" w:rsidP="00FC2208">
      <w:pPr>
        <w:pStyle w:val="NoSpacing"/>
        <w:numPr>
          <w:ilvl w:val="0"/>
          <w:numId w:val="1"/>
        </w:numPr>
      </w:pPr>
      <w:commentRangeStart w:id="7"/>
      <w:r>
        <w:t>Reasonable adjustments</w:t>
      </w:r>
      <w:commentRangeEnd w:id="7"/>
      <w:r>
        <w:rPr>
          <w:rStyle w:val="CommentReference"/>
        </w:rPr>
        <w:commentReference w:id="7"/>
      </w:r>
    </w:p>
    <w:p w14:paraId="448A400A" w14:textId="77777777" w:rsidR="00FC2208" w:rsidRDefault="00FC2208" w:rsidP="00FC2208">
      <w:pPr>
        <w:pStyle w:val="NoSpacing"/>
        <w:numPr>
          <w:ilvl w:val="1"/>
          <w:numId w:val="1"/>
        </w:numPr>
      </w:pPr>
      <w:r>
        <w:t>Students with a declared requirement for reasonable adjustments</w:t>
      </w:r>
    </w:p>
    <w:p w14:paraId="06C7967B" w14:textId="77777777" w:rsidR="00FC2208" w:rsidRDefault="00FC2208" w:rsidP="00FC2208">
      <w:pPr>
        <w:pStyle w:val="NoSpacing"/>
        <w:numPr>
          <w:ilvl w:val="2"/>
          <w:numId w:val="1"/>
        </w:numPr>
      </w:pPr>
      <w:r>
        <w:t>have a right for their request (for the academic to record the lectures) to be considered</w:t>
      </w:r>
    </w:p>
    <w:p w14:paraId="31E48DCE" w14:textId="77777777" w:rsidR="00FC2208" w:rsidRDefault="00FC2208" w:rsidP="00FC2208">
      <w:pPr>
        <w:pStyle w:val="NoSpacing"/>
        <w:numPr>
          <w:ilvl w:val="2"/>
          <w:numId w:val="1"/>
        </w:numPr>
      </w:pPr>
      <w:r>
        <w:t>may be within their rights to make their own recordings in the absence of an academic-led recording</w:t>
      </w:r>
    </w:p>
    <w:p w14:paraId="2820D641" w14:textId="77777777" w:rsidR="00FC2208" w:rsidRDefault="00FC2208" w:rsidP="00FC2208">
      <w:pPr>
        <w:pStyle w:val="NoSpacing"/>
        <w:numPr>
          <w:ilvl w:val="2"/>
          <w:numId w:val="1"/>
        </w:numPr>
      </w:pPr>
      <w:r>
        <w:t>may require access sooner than a departmental embargo period</w:t>
      </w:r>
    </w:p>
    <w:p w14:paraId="378DBE7C" w14:textId="3D24EB26" w:rsidR="001A423C" w:rsidRDefault="00FC2208" w:rsidP="00FC2208">
      <w:pPr>
        <w:pStyle w:val="NoSpacing"/>
        <w:numPr>
          <w:ilvl w:val="2"/>
          <w:numId w:val="1"/>
        </w:numPr>
      </w:pPr>
      <w:commentRangeStart w:id="8"/>
      <w:r>
        <w:t>may require transcripts or captions</w:t>
      </w:r>
      <w:commentRangeEnd w:id="8"/>
      <w:r>
        <w:rPr>
          <w:rStyle w:val="CommentReference"/>
        </w:rPr>
        <w:commentReference w:id="8"/>
      </w:r>
    </w:p>
    <w:p w14:paraId="359F58F8" w14:textId="77777777" w:rsidR="00FC2208" w:rsidRDefault="00FC2208" w:rsidP="00FC2208">
      <w:pPr>
        <w:pStyle w:val="NoSpacing"/>
        <w:ind w:left="2160"/>
      </w:pPr>
    </w:p>
    <w:p w14:paraId="4F36AF47" w14:textId="2156360C" w:rsidR="000E5BAA" w:rsidRDefault="000E5BAA" w:rsidP="001A423C">
      <w:pPr>
        <w:pStyle w:val="NoSpacing"/>
        <w:numPr>
          <w:ilvl w:val="0"/>
          <w:numId w:val="1"/>
        </w:numPr>
      </w:pPr>
      <w:r>
        <w:t>Department-specific policies</w:t>
      </w:r>
    </w:p>
    <w:p w14:paraId="5DA88D8D" w14:textId="32D69D79" w:rsidR="001A7960" w:rsidRDefault="000E5BAA" w:rsidP="001A423C">
      <w:pPr>
        <w:pStyle w:val="NoSpacing"/>
        <w:numPr>
          <w:ilvl w:val="1"/>
          <w:numId w:val="1"/>
        </w:numPr>
      </w:pPr>
      <w:commentRangeStart w:id="9"/>
      <w:r>
        <w:t>Department</w:t>
      </w:r>
      <w:r w:rsidR="00C700A1">
        <w:t>s may declare additional terms/encouragement, as long as it does not contradict the terms of this institution-wide policy</w:t>
      </w:r>
      <w:commentRangeEnd w:id="9"/>
      <w:r w:rsidR="001A7960">
        <w:rPr>
          <w:rStyle w:val="CommentReference"/>
        </w:rPr>
        <w:commentReference w:id="9"/>
      </w:r>
    </w:p>
    <w:p w14:paraId="1FF54FEE" w14:textId="77777777" w:rsidR="00FC51A0" w:rsidRDefault="00FC51A0" w:rsidP="00FC51A0">
      <w:pPr>
        <w:pStyle w:val="NoSpacing"/>
        <w:ind w:left="1440"/>
      </w:pPr>
    </w:p>
    <w:p w14:paraId="16AE9387" w14:textId="22A8D7C5" w:rsidR="00FC51A0" w:rsidRDefault="00DE2775" w:rsidP="00FC51A0">
      <w:pPr>
        <w:pStyle w:val="NoSpacing"/>
        <w:numPr>
          <w:ilvl w:val="0"/>
          <w:numId w:val="1"/>
        </w:numPr>
      </w:pPr>
      <w:r>
        <w:lastRenderedPageBreak/>
        <w:t>Instruments of the policy</w:t>
      </w:r>
      <w:r w:rsidR="00996657">
        <w:t xml:space="preserve"> –</w:t>
      </w:r>
      <w:r w:rsidR="001A7960">
        <w:t xml:space="preserve"> </w:t>
      </w:r>
      <w:r w:rsidR="00996657">
        <w:t>taken alongside the configuration of ITS-managed platforms, these constitute the implementation of the policy into practice</w:t>
      </w:r>
      <w:r w:rsidR="001A7960">
        <w:t>. Each of these documents should be centrally held.</w:t>
      </w:r>
    </w:p>
    <w:p w14:paraId="5207E49C" w14:textId="4FC1FCFE" w:rsidR="00FC51A0" w:rsidRDefault="00FC51A0" w:rsidP="00FC51A0">
      <w:pPr>
        <w:pStyle w:val="NoSpacing"/>
        <w:numPr>
          <w:ilvl w:val="1"/>
          <w:numId w:val="1"/>
        </w:numPr>
      </w:pPr>
      <w:r>
        <w:t>Presenter consent form</w:t>
      </w:r>
      <w:r w:rsidR="00DE2775">
        <w:t xml:space="preserve"> (for echo360 only? or extend?)</w:t>
      </w:r>
    </w:p>
    <w:p w14:paraId="7E34976B" w14:textId="20B9B162" w:rsidR="00FC51A0" w:rsidRDefault="00FC51A0" w:rsidP="00FC51A0">
      <w:pPr>
        <w:pStyle w:val="NoSpacing"/>
        <w:numPr>
          <w:ilvl w:val="2"/>
          <w:numId w:val="1"/>
        </w:numPr>
      </w:pPr>
      <w:r>
        <w:t>Copyright liability acceptance – definition and explanation</w:t>
      </w:r>
    </w:p>
    <w:p w14:paraId="2E5D0F88" w14:textId="48FC7FD9" w:rsidR="00FC51A0" w:rsidRDefault="00FC51A0" w:rsidP="00FC51A0">
      <w:pPr>
        <w:pStyle w:val="NoSpacing"/>
        <w:numPr>
          <w:ilvl w:val="2"/>
          <w:numId w:val="1"/>
        </w:numPr>
      </w:pPr>
      <w:r>
        <w:t>Performers rights waiver – definition and explanation</w:t>
      </w:r>
    </w:p>
    <w:p w14:paraId="6F9CB776" w14:textId="019E1CDA" w:rsidR="00DE2775" w:rsidRDefault="00FC51A0" w:rsidP="00DE2775">
      <w:pPr>
        <w:pStyle w:val="NoSpacing"/>
        <w:numPr>
          <w:ilvl w:val="2"/>
          <w:numId w:val="1"/>
        </w:numPr>
      </w:pPr>
      <w:r>
        <w:t>Clearance of participant permissions</w:t>
      </w:r>
      <w:r w:rsidR="001B78D2">
        <w:t xml:space="preserve"> - m</w:t>
      </w:r>
      <w:r>
        <w:t>ay need further guidance??</w:t>
      </w:r>
    </w:p>
    <w:p w14:paraId="554DE664" w14:textId="6149D19A" w:rsidR="00FC51A0" w:rsidRDefault="00FC51A0" w:rsidP="00FC51A0">
      <w:pPr>
        <w:pStyle w:val="NoSpacing"/>
        <w:numPr>
          <w:ilvl w:val="1"/>
          <w:numId w:val="1"/>
        </w:numPr>
      </w:pPr>
      <w:r>
        <w:t>Process for non-staff presenters</w:t>
      </w:r>
    </w:p>
    <w:p w14:paraId="0796985C" w14:textId="618CFA14" w:rsidR="00FC51A0" w:rsidRDefault="00FC51A0" w:rsidP="00FC51A0">
      <w:pPr>
        <w:pStyle w:val="NoSpacing"/>
        <w:numPr>
          <w:ilvl w:val="1"/>
          <w:numId w:val="1"/>
        </w:numPr>
      </w:pPr>
      <w:r>
        <w:t>Notice and takedown procedure</w:t>
      </w:r>
    </w:p>
    <w:p w14:paraId="07BFBB9C" w14:textId="7FE2723B" w:rsidR="00FC51A0" w:rsidRDefault="00FC51A0" w:rsidP="00FC51A0">
      <w:pPr>
        <w:pStyle w:val="NoSpacing"/>
        <w:numPr>
          <w:ilvl w:val="1"/>
          <w:numId w:val="1"/>
        </w:numPr>
      </w:pPr>
      <w:r>
        <w:t>Process in case of disputes</w:t>
      </w:r>
    </w:p>
    <w:p w14:paraId="619E6CC8" w14:textId="4B51F14F" w:rsidR="001B78D2" w:rsidRDefault="00DE2775" w:rsidP="00FC51A0">
      <w:pPr>
        <w:pStyle w:val="NoSpacing"/>
        <w:numPr>
          <w:ilvl w:val="1"/>
          <w:numId w:val="1"/>
        </w:numPr>
      </w:pPr>
      <w:r>
        <w:t>Statement on c</w:t>
      </w:r>
      <w:r w:rsidR="001B78D2">
        <w:t>ircumstances where capture is not appropriate</w:t>
      </w:r>
    </w:p>
    <w:p w14:paraId="5616FF6E" w14:textId="0E91A93C" w:rsidR="00DE2775" w:rsidRDefault="00DE2775" w:rsidP="00DE2775">
      <w:pPr>
        <w:pStyle w:val="NoSpacing"/>
        <w:numPr>
          <w:ilvl w:val="2"/>
          <w:numId w:val="1"/>
        </w:numPr>
      </w:pPr>
      <w:r>
        <w:t>This could be revised every year</w:t>
      </w:r>
    </w:p>
    <w:p w14:paraId="707D072D" w14:textId="77777777" w:rsidR="002E2ADF" w:rsidRDefault="002E2ADF" w:rsidP="002E2ADF">
      <w:pPr>
        <w:pStyle w:val="NoSpacing"/>
      </w:pPr>
    </w:p>
    <w:p w14:paraId="0789364C" w14:textId="77777777" w:rsidR="002E2ADF" w:rsidRDefault="002E2ADF"/>
    <w:p w14:paraId="35F4B948" w14:textId="77777777" w:rsidR="002E2ADF" w:rsidRDefault="002E2ADF"/>
    <w:sectPr w:rsidR="002E2AD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homas, Amber" w:date="2016-02-29T13:33:00Z" w:initials="TA">
    <w:p w14:paraId="00149A91" w14:textId="3838D575" w:rsidR="000E1614" w:rsidRDefault="000E1614">
      <w:pPr>
        <w:pStyle w:val="CommentText"/>
      </w:pPr>
      <w:r>
        <w:rPr>
          <w:rStyle w:val="CommentReference"/>
        </w:rPr>
        <w:annotationRef/>
      </w:r>
      <w:r w:rsidR="001A423C">
        <w:t>This is where the marketing/public engagement angle might come in. Could consult with comms/emily little on having appropriate clauses in here to signpost to relevant guidance?</w:t>
      </w:r>
    </w:p>
  </w:comment>
  <w:comment w:id="2" w:author="Thomas, Amber" w:date="2016-02-29T13:03:00Z" w:initials="TA">
    <w:p w14:paraId="3E062BFA" w14:textId="3525A58D" w:rsidR="00FB09A1" w:rsidRDefault="00FB09A1">
      <w:pPr>
        <w:pStyle w:val="CommentText"/>
      </w:pPr>
      <w:r>
        <w:rPr>
          <w:rStyle w:val="CommentReference"/>
        </w:rPr>
        <w:annotationRef/>
      </w:r>
      <w:r w:rsidR="001A7960">
        <w:t>I suggest I brief the Policy Review Group on these tools. Maybe a 10 minute session.</w:t>
      </w:r>
    </w:p>
  </w:comment>
  <w:comment w:id="3" w:author="Thomas, Amber" w:date="2016-02-29T13:26:00Z" w:initials="TA">
    <w:p w14:paraId="395FD7BE" w14:textId="75BBF122" w:rsidR="001A7960" w:rsidRDefault="001A7960">
      <w:pPr>
        <w:pStyle w:val="CommentText"/>
      </w:pPr>
      <w:r>
        <w:rPr>
          <w:rStyle w:val="CommentReference"/>
        </w:rPr>
        <w:annotationRef/>
      </w:r>
      <w:r>
        <w:t>Perhaps this also needs an education piece about why technical systems need explicit contributor agreements. Me? Simon?</w:t>
      </w:r>
    </w:p>
  </w:comment>
  <w:comment w:id="4" w:author="Thomas, Amber" w:date="2016-02-29T13:27:00Z" w:initials="TA">
    <w:p w14:paraId="461E9020" w14:textId="6726FC43" w:rsidR="001A7960" w:rsidRDefault="001A7960">
      <w:pPr>
        <w:pStyle w:val="CommentText"/>
      </w:pPr>
      <w:r>
        <w:rPr>
          <w:rStyle w:val="CommentReference"/>
        </w:rPr>
        <w:annotationRef/>
      </w:r>
      <w:r>
        <w:t xml:space="preserve">This definitely needs a statement on the contractual situation regarding “curriculum materials” and “teaching resources”. The group may wish to advocate for the contracts to be modernised but that change won’t happen within the timeframe of this policy review </w:t>
      </w:r>
    </w:p>
  </w:comment>
  <w:comment w:id="5" w:author="Thomas, Amber" w:date="2016-02-29T13:23:00Z" w:initials="TA">
    <w:p w14:paraId="004CD6B6" w14:textId="7F4C867F" w:rsidR="001A7960" w:rsidRDefault="001A7960">
      <w:pPr>
        <w:pStyle w:val="CommentText"/>
      </w:pPr>
      <w:r>
        <w:rPr>
          <w:rStyle w:val="CommentReference"/>
        </w:rPr>
        <w:annotationRef/>
      </w:r>
      <w:r>
        <w:t>I suggest that someone (Simon? Yvonne Budden?) briefs the Policy Review Group on the 2012 changes. Maybe a written briefing plus discussion.</w:t>
      </w:r>
    </w:p>
  </w:comment>
  <w:comment w:id="6" w:author="Thomas, Amber" w:date="2016-02-29T13:46:00Z" w:initials="TA">
    <w:p w14:paraId="21063F30" w14:textId="74BBFE5A" w:rsidR="00FC2208" w:rsidRDefault="00FC2208">
      <w:pPr>
        <w:pStyle w:val="CommentText"/>
      </w:pPr>
      <w:r>
        <w:rPr>
          <w:rStyle w:val="CommentReference"/>
        </w:rPr>
        <w:annotationRef/>
      </w:r>
      <w:r>
        <w:t>This is firmly within the scope of AQSC and would be a key focus of the consultation with AQSC (the parent committee for this review)</w:t>
      </w:r>
    </w:p>
  </w:comment>
  <w:comment w:id="7" w:author="Thomas, Amber" w:date="2016-02-29T13:45:00Z" w:initials="TA">
    <w:p w14:paraId="5C4B47AE" w14:textId="558CFC4A" w:rsidR="00FC2208" w:rsidRDefault="00FC2208">
      <w:pPr>
        <w:pStyle w:val="CommentText"/>
      </w:pPr>
      <w:r>
        <w:rPr>
          <w:rStyle w:val="CommentReference"/>
        </w:rPr>
        <w:annotationRef/>
      </w:r>
      <w:r>
        <w:t>This is within the scope of the DSA working group and we will need to consult with them</w:t>
      </w:r>
    </w:p>
  </w:comment>
  <w:comment w:id="8" w:author="Thomas, Amber" w:date="2016-02-29T13:44:00Z" w:initials="TA">
    <w:p w14:paraId="63B9167B" w14:textId="26B3D6FC" w:rsidR="00FC2208" w:rsidRDefault="00FC2208">
      <w:pPr>
        <w:pStyle w:val="CommentText"/>
      </w:pPr>
      <w:r>
        <w:rPr>
          <w:rStyle w:val="CommentReference"/>
        </w:rPr>
        <w:annotationRef/>
      </w:r>
      <w:r>
        <w:t>I may need to provide the group with details of how this would work and the cost implications, which would likely fall to departments to administer even if there was a central subsidy.</w:t>
      </w:r>
    </w:p>
  </w:comment>
  <w:comment w:id="9" w:author="Thomas, Amber" w:date="2016-02-29T13:29:00Z" w:initials="TA">
    <w:p w14:paraId="395C756E" w14:textId="368F46CB" w:rsidR="001A7960" w:rsidRDefault="001A7960">
      <w:pPr>
        <w:pStyle w:val="CommentText"/>
      </w:pPr>
      <w:r>
        <w:rPr>
          <w:rStyle w:val="CommentReference"/>
        </w:rPr>
        <w:annotationRef/>
      </w:r>
      <w:r>
        <w:t>This suggests to me that we need to identify the lead authority to sign-off departmental policy. Should it be Chair of TELSG, or a PVC or a senior officer?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149A91" w15:done="0"/>
  <w15:commentEx w15:paraId="3E062BFA" w15:done="0"/>
  <w15:commentEx w15:paraId="395FD7BE" w15:done="0"/>
  <w15:commentEx w15:paraId="461E9020" w15:done="0"/>
  <w15:commentEx w15:paraId="004CD6B6" w15:done="0"/>
  <w15:commentEx w15:paraId="21063F30" w15:done="0"/>
  <w15:commentEx w15:paraId="5C4B47AE" w15:done="0"/>
  <w15:commentEx w15:paraId="63B9167B" w15:done="0"/>
  <w15:commentEx w15:paraId="395C756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92616"/>
    <w:multiLevelType w:val="hybridMultilevel"/>
    <w:tmpl w:val="CBAADB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Amber">
    <w15:presenceInfo w15:providerId="AD" w15:userId="S-1-5-21-94802787-2259107539-412602403-156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DF"/>
    <w:rsid w:val="000E1614"/>
    <w:rsid w:val="000E1A74"/>
    <w:rsid w:val="000E5BAA"/>
    <w:rsid w:val="001A423C"/>
    <w:rsid w:val="001A7960"/>
    <w:rsid w:val="001B78D2"/>
    <w:rsid w:val="002E2ADF"/>
    <w:rsid w:val="00386B1B"/>
    <w:rsid w:val="003A32B3"/>
    <w:rsid w:val="003C7CEC"/>
    <w:rsid w:val="004E36DA"/>
    <w:rsid w:val="00502EE2"/>
    <w:rsid w:val="00651300"/>
    <w:rsid w:val="0073427D"/>
    <w:rsid w:val="0074754E"/>
    <w:rsid w:val="007D709A"/>
    <w:rsid w:val="008D5931"/>
    <w:rsid w:val="00996657"/>
    <w:rsid w:val="009D5BE0"/>
    <w:rsid w:val="00B34BAB"/>
    <w:rsid w:val="00B82075"/>
    <w:rsid w:val="00BA03CE"/>
    <w:rsid w:val="00BD481B"/>
    <w:rsid w:val="00C700A1"/>
    <w:rsid w:val="00DE2775"/>
    <w:rsid w:val="00FA274F"/>
    <w:rsid w:val="00FB09A1"/>
    <w:rsid w:val="00FC2208"/>
    <w:rsid w:val="00FC51A0"/>
    <w:rsid w:val="00FE7B55"/>
    <w:rsid w:val="00FF3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834E"/>
  <w15:chartTrackingRefBased/>
  <w15:docId w15:val="{D2000CAF-6237-4FA1-8DC4-6D888019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2A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ADF"/>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E2ADF"/>
    <w:pPr>
      <w:spacing w:after="0" w:line="240" w:lineRule="auto"/>
    </w:pPr>
  </w:style>
  <w:style w:type="character" w:styleId="CommentReference">
    <w:name w:val="annotation reference"/>
    <w:basedOn w:val="DefaultParagraphFont"/>
    <w:uiPriority w:val="99"/>
    <w:semiHidden/>
    <w:unhideWhenUsed/>
    <w:rsid w:val="00FB09A1"/>
    <w:rPr>
      <w:sz w:val="16"/>
      <w:szCs w:val="16"/>
    </w:rPr>
  </w:style>
  <w:style w:type="paragraph" w:styleId="CommentText">
    <w:name w:val="annotation text"/>
    <w:basedOn w:val="Normal"/>
    <w:link w:val="CommentTextChar"/>
    <w:uiPriority w:val="99"/>
    <w:semiHidden/>
    <w:unhideWhenUsed/>
    <w:rsid w:val="00FB09A1"/>
    <w:pPr>
      <w:spacing w:line="240" w:lineRule="auto"/>
    </w:pPr>
    <w:rPr>
      <w:sz w:val="20"/>
      <w:szCs w:val="20"/>
    </w:rPr>
  </w:style>
  <w:style w:type="character" w:customStyle="1" w:styleId="CommentTextChar">
    <w:name w:val="Comment Text Char"/>
    <w:basedOn w:val="DefaultParagraphFont"/>
    <w:link w:val="CommentText"/>
    <w:uiPriority w:val="99"/>
    <w:semiHidden/>
    <w:rsid w:val="00FB09A1"/>
    <w:rPr>
      <w:sz w:val="20"/>
      <w:szCs w:val="20"/>
    </w:rPr>
  </w:style>
  <w:style w:type="paragraph" w:styleId="CommentSubject">
    <w:name w:val="annotation subject"/>
    <w:basedOn w:val="CommentText"/>
    <w:next w:val="CommentText"/>
    <w:link w:val="CommentSubjectChar"/>
    <w:uiPriority w:val="99"/>
    <w:semiHidden/>
    <w:unhideWhenUsed/>
    <w:rsid w:val="00FB09A1"/>
    <w:rPr>
      <w:b/>
      <w:bCs/>
    </w:rPr>
  </w:style>
  <w:style w:type="character" w:customStyle="1" w:styleId="CommentSubjectChar">
    <w:name w:val="Comment Subject Char"/>
    <w:basedOn w:val="CommentTextChar"/>
    <w:link w:val="CommentSubject"/>
    <w:uiPriority w:val="99"/>
    <w:semiHidden/>
    <w:rsid w:val="00FB09A1"/>
    <w:rPr>
      <w:b/>
      <w:bCs/>
      <w:sz w:val="20"/>
      <w:szCs w:val="20"/>
    </w:rPr>
  </w:style>
  <w:style w:type="paragraph" w:styleId="BalloonText">
    <w:name w:val="Balloon Text"/>
    <w:basedOn w:val="Normal"/>
    <w:link w:val="BalloonTextChar"/>
    <w:uiPriority w:val="99"/>
    <w:semiHidden/>
    <w:unhideWhenUsed/>
    <w:rsid w:val="00FB0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9A1"/>
    <w:rPr>
      <w:rFonts w:ascii="Segoe UI" w:hAnsi="Segoe UI" w:cs="Segoe UI"/>
      <w:sz w:val="18"/>
      <w:szCs w:val="18"/>
    </w:rPr>
  </w:style>
  <w:style w:type="paragraph" w:styleId="TOCHeading">
    <w:name w:val="TOC Heading"/>
    <w:basedOn w:val="Heading1"/>
    <w:next w:val="Normal"/>
    <w:uiPriority w:val="39"/>
    <w:unhideWhenUsed/>
    <w:qFormat/>
    <w:rsid w:val="000E1614"/>
    <w:pPr>
      <w:outlineLvl w:val="9"/>
    </w:pPr>
    <w:rPr>
      <w:lang w:val="en-US"/>
    </w:rPr>
  </w:style>
  <w:style w:type="paragraph" w:styleId="TOC1">
    <w:name w:val="toc 1"/>
    <w:basedOn w:val="Normal"/>
    <w:next w:val="Normal"/>
    <w:autoRedefine/>
    <w:uiPriority w:val="39"/>
    <w:unhideWhenUsed/>
    <w:rsid w:val="000E1614"/>
    <w:pPr>
      <w:spacing w:after="100"/>
    </w:pPr>
  </w:style>
  <w:style w:type="character" w:styleId="Hyperlink">
    <w:name w:val="Hyperlink"/>
    <w:basedOn w:val="DefaultParagraphFont"/>
    <w:uiPriority w:val="99"/>
    <w:unhideWhenUsed/>
    <w:rsid w:val="000E1614"/>
    <w:rPr>
      <w:color w:val="0563C1" w:themeColor="hyperlink"/>
      <w:u w:val="single"/>
    </w:rPr>
  </w:style>
  <w:style w:type="paragraph" w:styleId="TOC2">
    <w:name w:val="toc 2"/>
    <w:basedOn w:val="Normal"/>
    <w:next w:val="Normal"/>
    <w:autoRedefine/>
    <w:uiPriority w:val="39"/>
    <w:unhideWhenUsed/>
    <w:rsid w:val="000E1614"/>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0E1614"/>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43AE0748996046A5EC27A8294C3DD5" ma:contentTypeVersion="3" ma:contentTypeDescription="Create a new document." ma:contentTypeScope="" ma:versionID="4c821d87a9703a163c8c478da683b287">
  <xsd:schema xmlns:xsd="http://www.w3.org/2001/XMLSchema" xmlns:xs="http://www.w3.org/2001/XMLSchema" xmlns:p="http://schemas.microsoft.com/office/2006/metadata/properties" xmlns:ns2="07912297-0d2c-4681-8a11-b62e3f584095" targetNamespace="http://schemas.microsoft.com/office/2006/metadata/properties" ma:root="true" ma:fieldsID="5a3c5f82c0e627cf716518908b0cea1a" ns2:_="">
    <xsd:import namespace="07912297-0d2c-4681-8a11-b62e3f584095"/>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12297-0d2c-4681-8a11-b62e3f5840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7912297-0d2c-4681-8a11-b62e3f584095">
      <UserInfo>
        <DisplayName>Henrywood, Clair</DisplayName>
        <AccountId>976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C4144-D561-49E6-AFE2-6A7ECE68D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12297-0d2c-4681-8a11-b62e3f584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FBAE5-A469-486A-A0A6-45270EFE5F56}">
  <ds:schemaRefs>
    <ds:schemaRef ds:uri="http://schemas.microsoft.com/sharepoint/v3/contenttype/forms"/>
  </ds:schemaRefs>
</ds:datastoreItem>
</file>

<file path=customXml/itemProps3.xml><?xml version="1.0" encoding="utf-8"?>
<ds:datastoreItem xmlns:ds="http://schemas.openxmlformats.org/officeDocument/2006/customXml" ds:itemID="{7BB2B171-1B3F-4635-A0FB-D3D923F098C1}">
  <ds:schemaRefs>
    <ds:schemaRef ds:uri="http://purl.org/dc/elements/1.1/"/>
    <ds:schemaRef ds:uri="http://schemas.microsoft.com/office/2006/documentManagement/types"/>
    <ds:schemaRef ds:uri="http://purl.org/dc/terms/"/>
    <ds:schemaRef ds:uri="07912297-0d2c-4681-8a11-b62e3f584095"/>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57E483D-E375-4E20-8CDE-CEB287C1C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C9D69C59.dotm</Template>
  <TotalTime>1</TotalTime>
  <Pages>3</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Amber</dc:creator>
  <cp:keywords/>
  <dc:description/>
  <cp:lastModifiedBy>Thomas, Amber</cp:lastModifiedBy>
  <cp:revision>3</cp:revision>
  <dcterms:created xsi:type="dcterms:W3CDTF">2016-04-20T10:28:00Z</dcterms:created>
  <dcterms:modified xsi:type="dcterms:W3CDTF">2016-04-20T10:28:00Z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0x0101005F43AE0748996046A5EC27A8294C3DD5</vt:lpwstr>
  </property>
</Properties>
</file>